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B74" w:rsidRDefault="001A794F" w:rsidP="00422FE2">
      <w:pPr>
        <w:pStyle w:val="basic"/>
        <w:jc w:val="right"/>
        <w:rPr>
          <w:i/>
          <w:sz w:val="16"/>
          <w:szCs w:val="16"/>
        </w:rPr>
      </w:pPr>
      <w:r>
        <w:rPr>
          <w:b/>
          <w:noProof/>
          <w:lang w:eastAsia="en-CA"/>
        </w:rPr>
        <w:drawing>
          <wp:anchor distT="0" distB="0" distL="114300" distR="114300" simplePos="0" relativeHeight="251658240" behindDoc="0" locked="0" layoutInCell="1" allowOverlap="1">
            <wp:simplePos x="0" y="0"/>
            <wp:positionH relativeFrom="column">
              <wp:posOffset>-133350</wp:posOffset>
            </wp:positionH>
            <wp:positionV relativeFrom="paragraph">
              <wp:posOffset>-123825</wp:posOffset>
            </wp:positionV>
            <wp:extent cx="371475" cy="24003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475" cy="240030"/>
                    </a:xfrm>
                    <a:prstGeom prst="rect">
                      <a:avLst/>
                    </a:prstGeom>
                  </pic:spPr>
                </pic:pic>
              </a:graphicData>
            </a:graphic>
            <wp14:sizeRelH relativeFrom="page">
              <wp14:pctWidth>0</wp14:pctWidth>
            </wp14:sizeRelH>
            <wp14:sizeRelV relativeFrom="page">
              <wp14:pctHeight>0</wp14:pctHeight>
            </wp14:sizeRelV>
          </wp:anchor>
        </w:drawing>
      </w:r>
      <w:r w:rsidR="007907AD" w:rsidRPr="007907AD">
        <w:rPr>
          <w:i/>
          <w:sz w:val="16"/>
          <w:szCs w:val="16"/>
        </w:rPr>
        <w:t xml:space="preserve"> </w:t>
      </w:r>
    </w:p>
    <w:p w:rsidR="00AD1D27" w:rsidRDefault="00AD1D27" w:rsidP="00422FE2">
      <w:pPr>
        <w:pStyle w:val="basic"/>
        <w:jc w:val="right"/>
        <w:rPr>
          <w:sz w:val="18"/>
          <w:szCs w:val="18"/>
        </w:rPr>
      </w:pPr>
    </w:p>
    <w:p w:rsidR="00AD1D27" w:rsidRDefault="00AD1D27" w:rsidP="00422FE2">
      <w:pPr>
        <w:pStyle w:val="basic"/>
        <w:jc w:val="right"/>
        <w:rPr>
          <w:sz w:val="18"/>
          <w:szCs w:val="18"/>
        </w:rPr>
      </w:pPr>
    </w:p>
    <w:p w:rsidR="00A63B74" w:rsidRDefault="00A63B74" w:rsidP="00A63B74">
      <w:pPr>
        <w:pStyle w:val="basic"/>
        <w:rPr>
          <w:sz w:val="18"/>
          <w:szCs w:val="18"/>
        </w:rPr>
      </w:pPr>
    </w:p>
    <w:p w:rsidR="00A63B74" w:rsidRPr="007D6E7D" w:rsidRDefault="004423AA" w:rsidP="00A63B74">
      <w:pPr>
        <w:pStyle w:val="basic"/>
        <w:rPr>
          <w:b/>
          <w:color w:val="0070C0"/>
          <w:sz w:val="36"/>
          <w:szCs w:val="36"/>
        </w:rPr>
      </w:pPr>
      <w:r w:rsidRPr="007D6E7D">
        <w:rPr>
          <w:b/>
          <w:color w:val="0070C0"/>
          <w:sz w:val="36"/>
          <w:szCs w:val="36"/>
        </w:rPr>
        <w:t>Chapter 8</w:t>
      </w:r>
      <w:r w:rsidR="00B9138D" w:rsidRPr="007D6E7D">
        <w:rPr>
          <w:b/>
          <w:color w:val="0070C0"/>
          <w:sz w:val="36"/>
          <w:szCs w:val="36"/>
        </w:rPr>
        <w:t xml:space="preserve"> – </w:t>
      </w:r>
      <w:r w:rsidRPr="007D6E7D">
        <w:rPr>
          <w:b/>
          <w:color w:val="0070C0"/>
          <w:sz w:val="36"/>
          <w:szCs w:val="36"/>
        </w:rPr>
        <w:t>Financial Mathematics</w:t>
      </w:r>
    </w:p>
    <w:p w:rsidR="002B58DB" w:rsidRPr="00A96CEC" w:rsidRDefault="00E654D5" w:rsidP="00A63B74">
      <w:pPr>
        <w:pStyle w:val="basic"/>
        <w:rPr>
          <w:sz w:val="28"/>
          <w:szCs w:val="28"/>
        </w:rPr>
      </w:pPr>
      <w:r>
        <w:rPr>
          <w:b/>
          <w:sz w:val="28"/>
          <w:szCs w:val="28"/>
        </w:rPr>
        <w:t>8.2</w:t>
      </w:r>
      <w:r w:rsidR="00A96CEC" w:rsidRPr="00A96CEC">
        <w:rPr>
          <w:b/>
          <w:sz w:val="28"/>
          <w:szCs w:val="28"/>
        </w:rPr>
        <w:t xml:space="preserve"> – </w:t>
      </w:r>
      <w:r w:rsidR="004423AA">
        <w:rPr>
          <w:b/>
          <w:sz w:val="28"/>
          <w:szCs w:val="28"/>
        </w:rPr>
        <w:t xml:space="preserve">Compound Interest and </w:t>
      </w:r>
      <w:r>
        <w:rPr>
          <w:b/>
          <w:sz w:val="28"/>
          <w:szCs w:val="28"/>
        </w:rPr>
        <w:t>Future Value</w:t>
      </w:r>
    </w:p>
    <w:p w:rsidR="00A96CEC" w:rsidRDefault="00A96CEC" w:rsidP="00A63B74">
      <w:pPr>
        <w:pStyle w:val="basic"/>
      </w:pPr>
    </w:p>
    <w:p w:rsidR="007A3430" w:rsidRDefault="004423AA" w:rsidP="00A63B74">
      <w:pPr>
        <w:pStyle w:val="basic"/>
      </w:pPr>
      <w:r>
        <w:t>Last day we look at the idea of Simple Interest</w:t>
      </w:r>
      <w:r w:rsidR="00FA5C4F">
        <w:t xml:space="preserve"> (with formula </w:t>
      </w:r>
      <w:r w:rsidR="00FA5C4F" w:rsidRPr="00FA5C4F">
        <w:rPr>
          <w:position w:val="-14"/>
        </w:rPr>
        <w:object w:dxaOrig="1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20.4pt" o:ole="">
            <v:imagedata r:id="rId6" o:title=""/>
          </v:shape>
          <o:OLEObject Type="Embed" ProgID="Equation.DSMT4" ShapeID="_x0000_i1025" DrawAspect="Content" ObjectID="_1574829121" r:id="rId7"/>
        </w:object>
      </w:r>
      <w:r w:rsidR="00FA5C4F">
        <w:t>)</w:t>
      </w:r>
      <w:r>
        <w:t xml:space="preserve">. Now we consider the notion of Compound Interest. Compound Interest is such that your savings grows much more quickly than it could if you were just earning simple </w:t>
      </w:r>
      <w:r w:rsidR="00FA5C4F">
        <w:t>interest.</w:t>
      </w:r>
    </w:p>
    <w:p w:rsidR="00FA5C4F" w:rsidRDefault="00FA5C4F" w:rsidP="00A63B74">
      <w:pPr>
        <w:pStyle w:val="basic"/>
      </w:pPr>
    </w:p>
    <w:p w:rsidR="00FA5C4F" w:rsidRDefault="00FA5C4F" w:rsidP="00A63B74">
      <w:pPr>
        <w:pStyle w:val="basic"/>
      </w:pPr>
      <w:r>
        <w:t>Compound Interest Formulae:</w:t>
      </w:r>
    </w:p>
    <w:p w:rsidR="00FA5C4F" w:rsidRDefault="00FA5C4F" w:rsidP="00FA5C4F">
      <w:pPr>
        <w:pStyle w:val="basic"/>
        <w:jc w:val="center"/>
      </w:pPr>
      <w:r>
        <w:t>Future Value</w:t>
      </w:r>
      <w:r>
        <w:tab/>
      </w:r>
      <w:r>
        <w:tab/>
      </w:r>
      <w:r>
        <w:tab/>
      </w:r>
      <w:r>
        <w:tab/>
      </w:r>
      <w:r w:rsidR="00297357">
        <w:tab/>
      </w:r>
      <w:r>
        <w:t>Present Value</w:t>
      </w:r>
    </w:p>
    <w:p w:rsidR="00FA5C4F" w:rsidRDefault="00FA5C4F" w:rsidP="00FA5C4F">
      <w:pPr>
        <w:pStyle w:val="basic"/>
        <w:jc w:val="center"/>
      </w:pPr>
      <w:r w:rsidRPr="00FA5C4F">
        <w:rPr>
          <w:position w:val="-14"/>
        </w:rPr>
        <w:object w:dxaOrig="1280" w:dyaOrig="440">
          <v:shape id="_x0000_i1026" type="#_x0000_t75" style="width:64.8pt;height:21.6pt" o:ole="">
            <v:imagedata r:id="rId8" o:title=""/>
          </v:shape>
          <o:OLEObject Type="Embed" ProgID="Equation.DSMT4" ShapeID="_x0000_i1026" DrawAspect="Content" ObjectID="_1574829122" r:id="rId9"/>
        </w:object>
      </w:r>
      <w:r>
        <w:t xml:space="preserve"> </w:t>
      </w:r>
      <w:r>
        <w:tab/>
      </w:r>
      <w:r>
        <w:tab/>
      </w:r>
      <w:r>
        <w:tab/>
      </w:r>
      <w:r>
        <w:tab/>
      </w:r>
      <w:r w:rsidR="00297357">
        <w:tab/>
      </w:r>
      <w:r w:rsidRPr="00FA5C4F">
        <w:rPr>
          <w:position w:val="-36"/>
        </w:rPr>
        <w:object w:dxaOrig="1160" w:dyaOrig="740">
          <v:shape id="_x0000_i1027" type="#_x0000_t75" style="width:57.6pt;height:36.6pt" o:ole="">
            <v:imagedata r:id="rId10" o:title=""/>
          </v:shape>
          <o:OLEObject Type="Embed" ProgID="Equation.DSMT4" ShapeID="_x0000_i1027" DrawAspect="Content" ObjectID="_1574829123" r:id="rId11"/>
        </w:object>
      </w:r>
      <w:r>
        <w:t xml:space="preserve"> </w:t>
      </w:r>
    </w:p>
    <w:p w:rsidR="00FA5C4F" w:rsidRDefault="00FA5C4F" w:rsidP="00A63B74">
      <w:pPr>
        <w:pStyle w:val="basic"/>
      </w:pPr>
      <w:r>
        <w:tab/>
      </w:r>
      <w:r>
        <w:tab/>
        <w:t xml:space="preserve">where: </w:t>
      </w:r>
      <w:r>
        <w:tab/>
        <w:t xml:space="preserve"> </w:t>
      </w:r>
      <w:r w:rsidRPr="00FA5C4F">
        <w:rPr>
          <w:position w:val="-4"/>
        </w:rPr>
        <w:object w:dxaOrig="420" w:dyaOrig="260">
          <v:shape id="_x0000_i1028" type="#_x0000_t75" style="width:22.2pt;height:12.6pt" o:ole="">
            <v:imagedata r:id="rId12" o:title=""/>
          </v:shape>
          <o:OLEObject Type="Embed" ProgID="Equation.DSMT4" ShapeID="_x0000_i1028" DrawAspect="Content" ObjectID="_1574829124" r:id="rId13"/>
        </w:object>
      </w:r>
      <w:r>
        <w:t xml:space="preserve"> </w:t>
      </w:r>
    </w:p>
    <w:p w:rsidR="007D6E7D" w:rsidRDefault="007D6E7D" w:rsidP="00A63B74">
      <w:pPr>
        <w:pStyle w:val="basic"/>
      </w:pPr>
    </w:p>
    <w:p w:rsidR="00FA5C4F" w:rsidRDefault="00FA5C4F" w:rsidP="00A63B74">
      <w:pPr>
        <w:pStyle w:val="basic"/>
      </w:pPr>
      <w:r>
        <w:tab/>
      </w:r>
      <w:r>
        <w:tab/>
      </w:r>
      <w:r>
        <w:tab/>
        <w:t xml:space="preserve"> </w:t>
      </w:r>
      <w:r w:rsidRPr="00FA5C4F">
        <w:rPr>
          <w:position w:val="-4"/>
        </w:rPr>
        <w:object w:dxaOrig="420" w:dyaOrig="260">
          <v:shape id="_x0000_i1029" type="#_x0000_t75" style="width:22.2pt;height:12.6pt" o:ole="">
            <v:imagedata r:id="rId14" o:title=""/>
          </v:shape>
          <o:OLEObject Type="Embed" ProgID="Equation.DSMT4" ShapeID="_x0000_i1029" DrawAspect="Content" ObjectID="_1574829125" r:id="rId15"/>
        </w:object>
      </w:r>
      <w:r>
        <w:t xml:space="preserve"> </w:t>
      </w:r>
    </w:p>
    <w:p w:rsidR="007D6E7D" w:rsidRDefault="007D6E7D" w:rsidP="00A63B74">
      <w:pPr>
        <w:pStyle w:val="basic"/>
      </w:pPr>
    </w:p>
    <w:p w:rsidR="00FA5C4F" w:rsidRDefault="00FA5C4F" w:rsidP="00A63B74">
      <w:pPr>
        <w:pStyle w:val="basic"/>
      </w:pPr>
      <w:r>
        <w:tab/>
      </w:r>
      <w:r>
        <w:tab/>
      </w:r>
      <w:r>
        <w:tab/>
        <w:t xml:space="preserve"> </w:t>
      </w:r>
      <w:r w:rsidRPr="00FA5C4F">
        <w:rPr>
          <w:position w:val="-6"/>
        </w:rPr>
        <w:object w:dxaOrig="320" w:dyaOrig="260">
          <v:shape id="_x0000_i1030" type="#_x0000_t75" style="width:15.6pt;height:12.6pt" o:ole="">
            <v:imagedata r:id="rId16" o:title=""/>
          </v:shape>
          <o:OLEObject Type="Embed" ProgID="Equation.DSMT4" ShapeID="_x0000_i1030" DrawAspect="Content" ObjectID="_1574829126" r:id="rId17"/>
        </w:object>
      </w:r>
      <w:r>
        <w:t xml:space="preserve"> </w:t>
      </w:r>
    </w:p>
    <w:p w:rsidR="007D6E7D" w:rsidRDefault="007D6E7D" w:rsidP="00A63B74">
      <w:pPr>
        <w:pStyle w:val="basic"/>
      </w:pPr>
    </w:p>
    <w:p w:rsidR="00FA5C4F" w:rsidRDefault="00FA5C4F" w:rsidP="00A63B74">
      <w:pPr>
        <w:pStyle w:val="basic"/>
      </w:pPr>
      <w:r>
        <w:tab/>
      </w:r>
      <w:r>
        <w:tab/>
      </w:r>
      <w:r>
        <w:tab/>
        <w:t xml:space="preserve"> </w:t>
      </w:r>
      <w:r w:rsidRPr="00FA5C4F">
        <w:rPr>
          <w:position w:val="-6"/>
        </w:rPr>
        <w:object w:dxaOrig="380" w:dyaOrig="220">
          <v:shape id="_x0000_i1031" type="#_x0000_t75" style="width:19.8pt;height:10.2pt" o:ole="">
            <v:imagedata r:id="rId18" o:title=""/>
          </v:shape>
          <o:OLEObject Type="Embed" ProgID="Equation.DSMT4" ShapeID="_x0000_i1031" DrawAspect="Content" ObjectID="_1574829127" r:id="rId19"/>
        </w:object>
      </w:r>
      <w:r>
        <w:t xml:space="preserve"> </w:t>
      </w:r>
    </w:p>
    <w:p w:rsidR="00FA5C4F" w:rsidRDefault="00FA5C4F" w:rsidP="00A63B74">
      <w:pPr>
        <w:pStyle w:val="basic"/>
      </w:pPr>
    </w:p>
    <w:p w:rsidR="00E654D5" w:rsidRDefault="00E654D5" w:rsidP="00A63B74">
      <w:pPr>
        <w:pStyle w:val="basic"/>
      </w:pPr>
      <w:r>
        <w:t xml:space="preserve">Today we are looking at </w:t>
      </w:r>
      <w:r w:rsidRPr="00E94BC2">
        <w:rPr>
          <w:b/>
          <w:color w:val="C00000"/>
          <w14:shadow w14:blurRad="50800" w14:dist="38100" w14:dir="2700000" w14:sx="100000" w14:sy="100000" w14:kx="0" w14:ky="0" w14:algn="tl">
            <w14:srgbClr w14:val="000000">
              <w14:alpha w14:val="60000"/>
            </w14:srgbClr>
          </w14:shadow>
        </w:rPr>
        <w:t>Future Value</w:t>
      </w:r>
      <w:r w:rsidRPr="00E94BC2">
        <w:rPr>
          <w:color w:val="C00000"/>
          <w14:shadow w14:blurRad="50800" w14:dist="38100" w14:dir="2700000" w14:sx="100000" w14:sy="100000" w14:kx="0" w14:ky="0" w14:algn="tl">
            <w14:srgbClr w14:val="000000">
              <w14:alpha w14:val="60000"/>
            </w14:srgbClr>
          </w14:shadow>
        </w:rPr>
        <w:t xml:space="preserve"> </w:t>
      </w:r>
      <w:r>
        <w:t>– planning today for financial health later in life!</w:t>
      </w:r>
    </w:p>
    <w:p w:rsidR="00FA5C4F" w:rsidRDefault="00FA5C4F" w:rsidP="00A63B74">
      <w:pPr>
        <w:pStyle w:val="basic"/>
      </w:pPr>
    </w:p>
    <w:p w:rsidR="004423AA" w:rsidRPr="00FA5C4F" w:rsidRDefault="00FA5C4F" w:rsidP="00A63B74">
      <w:pPr>
        <w:pStyle w:val="basic"/>
        <w:rPr>
          <w:b/>
        </w:rPr>
      </w:pPr>
      <w:r w:rsidRPr="00FA5C4F">
        <w:rPr>
          <w:b/>
        </w:rPr>
        <w:t>Example 8.2.1</w:t>
      </w:r>
    </w:p>
    <w:p w:rsidR="00FA5C4F" w:rsidRDefault="00FA5C4F" w:rsidP="00A63B74">
      <w:pPr>
        <w:pStyle w:val="basic"/>
      </w:pPr>
      <w:r>
        <w:tab/>
      </w:r>
      <w:r w:rsidR="00E654D5">
        <w:t xml:space="preserve">a) </w:t>
      </w:r>
      <w:r>
        <w:t xml:space="preserve">You deposit $10 000 into an account which pays 2.4% per year, compounded </w:t>
      </w:r>
      <w:r w:rsidR="00E654D5">
        <w:t>annually</w:t>
      </w:r>
      <w:r>
        <w:t xml:space="preserve">. </w:t>
      </w:r>
      <w:r>
        <w:tab/>
        <w:t>What is the amount of money in the account in 10 years?</w:t>
      </w:r>
      <w:r>
        <w:tab/>
      </w:r>
    </w:p>
    <w:p w:rsidR="00E654D5" w:rsidRDefault="00E654D5" w:rsidP="00A63B74">
      <w:pPr>
        <w:pStyle w:val="basic"/>
      </w:pPr>
    </w:p>
    <w:p w:rsidR="00E654D5" w:rsidRDefault="00E654D5" w:rsidP="00A63B74">
      <w:pPr>
        <w:pStyle w:val="basic"/>
      </w:pPr>
    </w:p>
    <w:p w:rsidR="00E654D5" w:rsidRDefault="00E654D5" w:rsidP="00A63B74">
      <w:pPr>
        <w:pStyle w:val="basic"/>
      </w:pPr>
    </w:p>
    <w:p w:rsidR="00E654D5" w:rsidRDefault="00E654D5" w:rsidP="00A63B74">
      <w:pPr>
        <w:pStyle w:val="basic"/>
      </w:pPr>
    </w:p>
    <w:p w:rsidR="00E654D5" w:rsidRDefault="00E654D5" w:rsidP="00A63B74">
      <w:pPr>
        <w:pStyle w:val="basic"/>
      </w:pPr>
    </w:p>
    <w:p w:rsidR="00E654D5" w:rsidRDefault="00E654D5" w:rsidP="00A63B74">
      <w:pPr>
        <w:pStyle w:val="basic"/>
      </w:pPr>
    </w:p>
    <w:p w:rsidR="00E654D5" w:rsidRDefault="00E654D5" w:rsidP="00A63B74">
      <w:pPr>
        <w:pStyle w:val="basic"/>
      </w:pPr>
      <w:r>
        <w:tab/>
        <w:t xml:space="preserve">b) You deposit $10 000 into an account which pays 2.4% per year, compounded monthly. </w:t>
      </w:r>
      <w:r>
        <w:tab/>
        <w:t>What is the amount of money in the account in 10 years?</w:t>
      </w:r>
    </w:p>
    <w:p w:rsidR="004423AA" w:rsidRDefault="004423AA" w:rsidP="00A63B74">
      <w:pPr>
        <w:pStyle w:val="basic"/>
      </w:pPr>
    </w:p>
    <w:p w:rsidR="00FA5C4F" w:rsidRDefault="00FA5C4F" w:rsidP="00A63B74">
      <w:pPr>
        <w:pStyle w:val="basic"/>
      </w:pPr>
    </w:p>
    <w:p w:rsidR="00297357" w:rsidRDefault="00297357" w:rsidP="00A63B74">
      <w:pPr>
        <w:pStyle w:val="basic"/>
      </w:pPr>
    </w:p>
    <w:p w:rsidR="00297357" w:rsidRDefault="00297357" w:rsidP="00A63B74">
      <w:pPr>
        <w:pStyle w:val="basic"/>
      </w:pPr>
    </w:p>
    <w:p w:rsidR="00FA5C4F" w:rsidRPr="00FA5C4F" w:rsidRDefault="00FA5C4F" w:rsidP="00A63B74">
      <w:pPr>
        <w:pStyle w:val="basic"/>
        <w:rPr>
          <w:b/>
        </w:rPr>
      </w:pPr>
      <w:r w:rsidRPr="00FA5C4F">
        <w:rPr>
          <w:b/>
        </w:rPr>
        <w:lastRenderedPageBreak/>
        <w:t>Example 8.2.2</w:t>
      </w:r>
    </w:p>
    <w:p w:rsidR="00FA5C4F" w:rsidRPr="00FA2693" w:rsidRDefault="00E654D5" w:rsidP="00E654D5">
      <w:pPr>
        <w:pStyle w:val="basic"/>
        <w:ind w:left="720"/>
      </w:pPr>
      <w:r>
        <w:t xml:space="preserve">Beth deposits $500 into an account which pays 6% compounded monthly. Fred deposits $500 into an account which pays 6% </w:t>
      </w:r>
      <w:r>
        <w:rPr>
          <w:b/>
        </w:rPr>
        <w:t>simple interest</w:t>
      </w:r>
      <w:r w:rsidR="00FA2693">
        <w:t>. What is the difference in the value of their accounts after 5 years?</w:t>
      </w:r>
    </w:p>
    <w:p w:rsidR="004423AA" w:rsidRDefault="004423AA" w:rsidP="00A63B74">
      <w:pPr>
        <w:pStyle w:val="basic"/>
      </w:pPr>
    </w:p>
    <w:p w:rsidR="00FA5C4F" w:rsidRDefault="00FA5C4F" w:rsidP="00A63B74">
      <w:pPr>
        <w:pStyle w:val="basic"/>
      </w:pPr>
    </w:p>
    <w:p w:rsidR="00FA5C4F" w:rsidRDefault="00FA5C4F" w:rsidP="00A63B74">
      <w:pPr>
        <w:pStyle w:val="basic"/>
      </w:pPr>
    </w:p>
    <w:p w:rsidR="004D3A0A" w:rsidRDefault="004D3A0A" w:rsidP="00A63B74">
      <w:pPr>
        <w:pStyle w:val="basic"/>
      </w:pPr>
    </w:p>
    <w:p w:rsidR="00FA2693" w:rsidRDefault="00FA2693" w:rsidP="00A63B74">
      <w:pPr>
        <w:pStyle w:val="basic"/>
      </w:pPr>
    </w:p>
    <w:p w:rsidR="00FA2693" w:rsidRDefault="00FA2693" w:rsidP="00A63B74">
      <w:pPr>
        <w:pStyle w:val="basic"/>
      </w:pPr>
    </w:p>
    <w:p w:rsidR="00FA2693" w:rsidRDefault="00FA2693" w:rsidP="00A63B74">
      <w:pPr>
        <w:pStyle w:val="basic"/>
      </w:pPr>
    </w:p>
    <w:p w:rsidR="00FA2693" w:rsidRDefault="00FA2693" w:rsidP="00A63B74">
      <w:pPr>
        <w:pStyle w:val="basic"/>
      </w:pPr>
    </w:p>
    <w:p w:rsidR="00297357" w:rsidRDefault="00297357" w:rsidP="00A63B74">
      <w:pPr>
        <w:pStyle w:val="basic"/>
      </w:pPr>
    </w:p>
    <w:p w:rsidR="00297357" w:rsidRDefault="00297357" w:rsidP="00A63B74">
      <w:pPr>
        <w:pStyle w:val="basic"/>
      </w:pPr>
    </w:p>
    <w:p w:rsidR="00297357" w:rsidRDefault="00297357" w:rsidP="00A63B74">
      <w:pPr>
        <w:pStyle w:val="basic"/>
      </w:pPr>
    </w:p>
    <w:p w:rsidR="00FA2693" w:rsidRDefault="00FA2693" w:rsidP="00A63B74">
      <w:pPr>
        <w:pStyle w:val="basic"/>
      </w:pPr>
    </w:p>
    <w:p w:rsidR="00FA2693" w:rsidRDefault="00FA2693" w:rsidP="00A63B74">
      <w:pPr>
        <w:pStyle w:val="basic"/>
      </w:pPr>
    </w:p>
    <w:p w:rsidR="00FA2693" w:rsidRDefault="00FA2693" w:rsidP="00A63B74">
      <w:pPr>
        <w:pStyle w:val="basic"/>
      </w:pPr>
    </w:p>
    <w:p w:rsidR="00FA2693" w:rsidRDefault="00FA2693" w:rsidP="00A63B74">
      <w:pPr>
        <w:pStyle w:val="basic"/>
      </w:pPr>
      <w:r>
        <w:rPr>
          <w:b/>
        </w:rPr>
        <w:t>Example 8.2.3</w:t>
      </w:r>
    </w:p>
    <w:p w:rsidR="00FA2693" w:rsidRDefault="00FA2693" w:rsidP="00FA2693">
      <w:pPr>
        <w:pStyle w:val="basic"/>
        <w:ind w:left="720"/>
      </w:pPr>
      <w:r>
        <w:t>On her 15</w:t>
      </w:r>
      <w:r w:rsidRPr="00FA2693">
        <w:rPr>
          <w:vertAlign w:val="superscript"/>
        </w:rPr>
        <w:t>th</w:t>
      </w:r>
      <w:r>
        <w:t xml:space="preserve"> birthday, be</w:t>
      </w:r>
      <w:r w:rsidR="00E94BC2">
        <w:t>ing very wise, Susan</w:t>
      </w:r>
      <w:r>
        <w:t xml:space="preserve"> invests $10,000 in an account which pays 2.4% compounded monthl</w:t>
      </w:r>
      <w:r w:rsidR="00E94BC2">
        <w:t xml:space="preserve">y. The not-so-wise </w:t>
      </w:r>
      <w:r w:rsidR="00AD1D27">
        <w:t>John</w:t>
      </w:r>
      <w:r>
        <w:t xml:space="preserve"> waits until his 45</w:t>
      </w:r>
      <w:r w:rsidRPr="00FA2693">
        <w:rPr>
          <w:vertAlign w:val="superscript"/>
        </w:rPr>
        <w:t>th</w:t>
      </w:r>
      <w:r>
        <w:t xml:space="preserve"> birthday to invest $10,000 in an account which pays 2.4% compounded monthly. How much is each account worth when they reach 65 years old?</w:t>
      </w: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pPr>
    </w:p>
    <w:p w:rsidR="00297357" w:rsidRDefault="00297357" w:rsidP="00297357">
      <w:pPr>
        <w:pStyle w:val="basic"/>
        <w:rPr>
          <w:b/>
        </w:rPr>
      </w:pPr>
      <w:r>
        <w:rPr>
          <w:b/>
        </w:rPr>
        <w:lastRenderedPageBreak/>
        <w:t>Example 8.2.4</w:t>
      </w:r>
    </w:p>
    <w:p w:rsidR="00297357" w:rsidRDefault="00297357" w:rsidP="008C0C57">
      <w:pPr>
        <w:pStyle w:val="basic"/>
        <w:ind w:left="720"/>
      </w:pPr>
      <w:r>
        <w:t>You find yourself in a furniture store. Looking around you become dazzled by the adverts promising a better and happier life if you only had one of their beautiful couches. The advertisement reads:</w:t>
      </w:r>
    </w:p>
    <w:p w:rsidR="00297357" w:rsidRPr="00297357" w:rsidRDefault="00297357" w:rsidP="00297357">
      <w:pPr>
        <w:pStyle w:val="basic"/>
        <w:ind w:left="720" w:firstLine="720"/>
        <w:jc w:val="center"/>
        <w:rPr>
          <w:color w:val="FF0000"/>
          <w:sz w:val="28"/>
        </w:rPr>
      </w:pPr>
      <w:r w:rsidRPr="00297357">
        <w:rPr>
          <w:color w:val="FF0000"/>
          <w:sz w:val="28"/>
        </w:rPr>
        <w:t>No Money Down!</w:t>
      </w:r>
    </w:p>
    <w:p w:rsidR="00297357" w:rsidRPr="00297357" w:rsidRDefault="00297357" w:rsidP="00297357">
      <w:pPr>
        <w:pStyle w:val="basic"/>
        <w:ind w:left="720" w:firstLine="720"/>
        <w:jc w:val="center"/>
        <w:rPr>
          <w:b/>
          <w:color w:val="00B050"/>
          <w:sz w:val="32"/>
        </w:rPr>
      </w:pPr>
      <w:r w:rsidRPr="00297357">
        <w:rPr>
          <w:b/>
          <w:color w:val="00B050"/>
          <w:sz w:val="32"/>
        </w:rPr>
        <w:t>No Payments for 3 years!!</w:t>
      </w:r>
    </w:p>
    <w:p w:rsidR="00297357" w:rsidRPr="00297357" w:rsidRDefault="00297357" w:rsidP="00297357">
      <w:pPr>
        <w:pStyle w:val="basic"/>
        <w:ind w:left="720" w:firstLine="720"/>
        <w:jc w:val="center"/>
        <w:rPr>
          <w:color w:val="0070C0"/>
          <w:sz w:val="44"/>
          <w:szCs w:val="44"/>
        </w:rPr>
      </w:pPr>
      <w:r w:rsidRPr="00297357">
        <w:rPr>
          <w:color w:val="0070C0"/>
          <w:sz w:val="44"/>
          <w:szCs w:val="44"/>
        </w:rPr>
        <w:t>Take this couch home today!!!!!</w:t>
      </w:r>
    </w:p>
    <w:p w:rsidR="00297357" w:rsidRPr="00297357" w:rsidRDefault="00297357" w:rsidP="00297357">
      <w:pPr>
        <w:pStyle w:val="basic"/>
        <w:ind w:left="720" w:firstLine="720"/>
        <w:jc w:val="center"/>
        <w:rPr>
          <w:sz w:val="36"/>
          <w:szCs w:val="36"/>
        </w:rPr>
      </w:pPr>
      <w:r w:rsidRPr="00297357">
        <w:rPr>
          <w:sz w:val="36"/>
          <w:szCs w:val="36"/>
        </w:rPr>
        <w:t>Only $1599</w:t>
      </w:r>
      <w:r w:rsidR="00AD1D27">
        <w:rPr>
          <w:sz w:val="36"/>
          <w:szCs w:val="36"/>
          <w:vertAlign w:val="superscript"/>
        </w:rPr>
        <w:t>*</w:t>
      </w:r>
      <w:r w:rsidRPr="00297357">
        <w:rPr>
          <w:sz w:val="36"/>
          <w:szCs w:val="36"/>
        </w:rPr>
        <w:t>!!!!!!!!!!!!!</w:t>
      </w:r>
      <w:bookmarkStart w:id="0" w:name="_GoBack"/>
      <w:bookmarkEnd w:id="0"/>
    </w:p>
    <w:p w:rsidR="00297357" w:rsidRDefault="00297357" w:rsidP="00297357">
      <w:pPr>
        <w:pStyle w:val="basic"/>
      </w:pPr>
    </w:p>
    <w:p w:rsidR="00297357" w:rsidRDefault="00297357" w:rsidP="00297357">
      <w:pPr>
        <w:pStyle w:val="basic"/>
        <w:ind w:left="720"/>
      </w:pPr>
      <w:r>
        <w:t>You decide it’s a good deal, but you neglect to read the asterisk until it’s too late. You’ve already signed on the dotted line. After signing you decide to finally read the fine print which says:</w:t>
      </w:r>
    </w:p>
    <w:p w:rsidR="00297357" w:rsidRPr="00297357" w:rsidRDefault="00297357" w:rsidP="00297357">
      <w:pPr>
        <w:pStyle w:val="basic"/>
        <w:ind w:left="720" w:firstLine="720"/>
        <w:jc w:val="center"/>
        <w:rPr>
          <w:i/>
          <w:sz w:val="16"/>
          <w:szCs w:val="16"/>
        </w:rPr>
      </w:pPr>
      <w:r w:rsidRPr="00297357">
        <w:rPr>
          <w:i/>
          <w:sz w:val="16"/>
          <w:szCs w:val="16"/>
        </w:rPr>
        <w:t>*Financed at 18% compounded monthly</w:t>
      </w:r>
    </w:p>
    <w:p w:rsidR="00297357" w:rsidRDefault="00297357" w:rsidP="00297357">
      <w:pPr>
        <w:pStyle w:val="basic"/>
        <w:ind w:firstLine="720"/>
      </w:pPr>
      <w:r>
        <w:t>How much do you have to pay after 3 years?</w:t>
      </w: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8A6144" w:rsidRDefault="008A6144" w:rsidP="008A6144">
      <w:pPr>
        <w:pStyle w:val="basic"/>
      </w:pPr>
    </w:p>
    <w:p w:rsidR="00DA5B27" w:rsidRDefault="00DA5B27" w:rsidP="008A6144">
      <w:pPr>
        <w:pStyle w:val="basic"/>
      </w:pPr>
    </w:p>
    <w:p w:rsidR="00DA5B27" w:rsidRDefault="00DA5B27" w:rsidP="008A6144">
      <w:pPr>
        <w:pStyle w:val="basic"/>
      </w:pPr>
    </w:p>
    <w:p w:rsidR="008A6144" w:rsidRDefault="008A6144" w:rsidP="008A6144">
      <w:pPr>
        <w:pStyle w:val="basic"/>
      </w:pPr>
    </w:p>
    <w:p w:rsidR="008A6144" w:rsidRDefault="008A6144" w:rsidP="008A6144">
      <w:pPr>
        <w:pStyle w:val="basic"/>
        <w:ind w:left="2160" w:hanging="2160"/>
      </w:pPr>
      <w:r w:rsidRPr="0037726E">
        <w:rPr>
          <w:b/>
        </w:rPr>
        <w:t>Class/Homework</w:t>
      </w:r>
      <w:r w:rsidR="0037726E">
        <w:tab/>
      </w:r>
      <w:r>
        <w:t>Pg. 490 – 491 #1ab, 3cd (no timeline), 6 (guess and check!), 7 (option two is tricky), 9, 10</w:t>
      </w:r>
    </w:p>
    <w:p w:rsidR="008A6144" w:rsidRPr="00297357" w:rsidRDefault="008A6144" w:rsidP="00DA5B27">
      <w:pPr>
        <w:pStyle w:val="basic"/>
      </w:pPr>
      <w:r>
        <w:tab/>
      </w:r>
    </w:p>
    <w:sectPr w:rsidR="008A6144" w:rsidRPr="002973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4A1A"/>
    <w:multiLevelType w:val="hybridMultilevel"/>
    <w:tmpl w:val="35347D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43C44A5"/>
    <w:multiLevelType w:val="hybridMultilevel"/>
    <w:tmpl w:val="85CC52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834010A"/>
    <w:multiLevelType w:val="hybridMultilevel"/>
    <w:tmpl w:val="04BCE8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9BB73B0"/>
    <w:multiLevelType w:val="hybridMultilevel"/>
    <w:tmpl w:val="0DFCDC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54643F4"/>
    <w:multiLevelType w:val="hybridMultilevel"/>
    <w:tmpl w:val="3E828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D7428D"/>
    <w:multiLevelType w:val="hybridMultilevel"/>
    <w:tmpl w:val="A852CB2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833839"/>
    <w:multiLevelType w:val="hybridMultilevel"/>
    <w:tmpl w:val="450E81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8"/>
    <w:rsid w:val="00044DAF"/>
    <w:rsid w:val="00093D93"/>
    <w:rsid w:val="00096AAA"/>
    <w:rsid w:val="000A0BAE"/>
    <w:rsid w:val="0015091F"/>
    <w:rsid w:val="001A794F"/>
    <w:rsid w:val="001D576F"/>
    <w:rsid w:val="001F23F0"/>
    <w:rsid w:val="00214806"/>
    <w:rsid w:val="0028632B"/>
    <w:rsid w:val="00297357"/>
    <w:rsid w:val="002A14F9"/>
    <w:rsid w:val="002B58DB"/>
    <w:rsid w:val="002F6873"/>
    <w:rsid w:val="00324021"/>
    <w:rsid w:val="0036627A"/>
    <w:rsid w:val="00373260"/>
    <w:rsid w:val="0037726E"/>
    <w:rsid w:val="003C751E"/>
    <w:rsid w:val="00422FE2"/>
    <w:rsid w:val="00431C05"/>
    <w:rsid w:val="004423AA"/>
    <w:rsid w:val="00476857"/>
    <w:rsid w:val="00483F2F"/>
    <w:rsid w:val="00494DE4"/>
    <w:rsid w:val="004D3A0A"/>
    <w:rsid w:val="004F2A04"/>
    <w:rsid w:val="005350D8"/>
    <w:rsid w:val="00576BAE"/>
    <w:rsid w:val="005A64D8"/>
    <w:rsid w:val="005A7914"/>
    <w:rsid w:val="005F095E"/>
    <w:rsid w:val="0062184B"/>
    <w:rsid w:val="00622F24"/>
    <w:rsid w:val="00631971"/>
    <w:rsid w:val="00636FBC"/>
    <w:rsid w:val="00662957"/>
    <w:rsid w:val="007907AD"/>
    <w:rsid w:val="007A1F88"/>
    <w:rsid w:val="007A3430"/>
    <w:rsid w:val="007D0958"/>
    <w:rsid w:val="007D4314"/>
    <w:rsid w:val="007D6E7D"/>
    <w:rsid w:val="00845928"/>
    <w:rsid w:val="00886134"/>
    <w:rsid w:val="008A2166"/>
    <w:rsid w:val="008A6144"/>
    <w:rsid w:val="008B7B29"/>
    <w:rsid w:val="008C0C57"/>
    <w:rsid w:val="00906BAA"/>
    <w:rsid w:val="00925232"/>
    <w:rsid w:val="009465F7"/>
    <w:rsid w:val="009D30E5"/>
    <w:rsid w:val="009F591B"/>
    <w:rsid w:val="00A31CB1"/>
    <w:rsid w:val="00A36736"/>
    <w:rsid w:val="00A63B74"/>
    <w:rsid w:val="00A8029C"/>
    <w:rsid w:val="00A96CEC"/>
    <w:rsid w:val="00AC382E"/>
    <w:rsid w:val="00AD1D27"/>
    <w:rsid w:val="00AE360C"/>
    <w:rsid w:val="00B83D65"/>
    <w:rsid w:val="00B9138D"/>
    <w:rsid w:val="00B94A07"/>
    <w:rsid w:val="00BC1984"/>
    <w:rsid w:val="00D05AEB"/>
    <w:rsid w:val="00D216A5"/>
    <w:rsid w:val="00D94DA9"/>
    <w:rsid w:val="00DA5B27"/>
    <w:rsid w:val="00DA7967"/>
    <w:rsid w:val="00DB0F5E"/>
    <w:rsid w:val="00E10B27"/>
    <w:rsid w:val="00E43C01"/>
    <w:rsid w:val="00E654D5"/>
    <w:rsid w:val="00E94BC2"/>
    <w:rsid w:val="00EA211E"/>
    <w:rsid w:val="00EA2D94"/>
    <w:rsid w:val="00EB038D"/>
    <w:rsid w:val="00F7584B"/>
    <w:rsid w:val="00FA2693"/>
    <w:rsid w:val="00FA5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773"/>
  <w15:docId w15:val="{E2262F9B-2B3A-4A55-A937-783A13FC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qFormat/>
    <w:rsid w:val="007A1F88"/>
    <w:pPr>
      <w:spacing w:after="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FE2"/>
    <w:pPr>
      <w:spacing w:after="0" w:line="240" w:lineRule="auto"/>
    </w:pPr>
    <w:rPr>
      <w:rFonts w:ascii="Tahoma" w:hAnsi="Tahoma" w:cs="Tahoma"/>
      <w:sz w:val="16"/>
      <w:szCs w:val="16"/>
    </w:rPr>
  </w:style>
  <w:style w:type="character" w:customStyle="1" w:styleId="basicChar">
    <w:name w:val="basic Char"/>
    <w:basedOn w:val="DefaultParagraphFont"/>
    <w:link w:val="basic"/>
    <w:rsid w:val="007A1F88"/>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422FE2"/>
    <w:rPr>
      <w:rFonts w:ascii="Tahoma" w:hAnsi="Tahoma" w:cs="Tahoma"/>
      <w:sz w:val="16"/>
      <w:szCs w:val="16"/>
    </w:rPr>
  </w:style>
  <w:style w:type="character" w:styleId="Strong">
    <w:name w:val="Strong"/>
    <w:qFormat/>
    <w:rsid w:val="004D3A0A"/>
    <w:rPr>
      <w:b/>
      <w:bCs/>
    </w:rPr>
  </w:style>
  <w:style w:type="paragraph" w:styleId="BodyText">
    <w:name w:val="Body Text"/>
    <w:basedOn w:val="Normal"/>
    <w:link w:val="BodyTextChar"/>
    <w:rsid w:val="004D3A0A"/>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4D3A0A"/>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dc:creator>
  <cp:lastModifiedBy>John Templeton</cp:lastModifiedBy>
  <cp:revision>6</cp:revision>
  <cp:lastPrinted>2012-12-12T19:12:00Z</cp:lastPrinted>
  <dcterms:created xsi:type="dcterms:W3CDTF">2016-01-05T13:02:00Z</dcterms:created>
  <dcterms:modified xsi:type="dcterms:W3CDTF">2017-12-15T12:45:00Z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